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795C" w14:textId="77777777" w:rsidR="00520E5A" w:rsidRDefault="00520E5A" w:rsidP="00520E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68730D0" w14:textId="406A4B59" w:rsidR="00520E5A" w:rsidRPr="00125513" w:rsidRDefault="00EF1F36" w:rsidP="00520E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0E5A" w:rsidRPr="00125513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Propedeutyka Medycyny Uzależnie</w:t>
                            </w:r>
                            <w:r w:rsidR="00520E5A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48D9795C" w14:textId="77777777" w:rsidR="00520E5A" w:rsidRDefault="00520E5A" w:rsidP="00520E5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368730D0" w14:textId="406A4B59" w:rsidR="00520E5A" w:rsidRPr="00125513" w:rsidRDefault="00EF1F36" w:rsidP="00520E5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20E5A" w:rsidRPr="00125513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Propedeutyka Medycyny Uzależnie</w:t>
                      </w:r>
                      <w:r w:rsidR="00520E5A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47D9DD49" w:rsidR="00470E8F" w:rsidRPr="00C01834" w:rsidRDefault="000E031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203CE39A" w:rsidR="00C01834" w:rsidRPr="00C01834" w:rsidRDefault="00520E5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Lekarski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5D952B7C" w:rsidR="00C01834" w:rsidRPr="00C01834" w:rsidRDefault="00520E5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Lekarski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2C9E7FE8" w:rsidR="00C01834" w:rsidRPr="00520E5A" w:rsidRDefault="00520E5A" w:rsidP="00EF1F36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 w:rsidRPr="00520E5A">
              <w:rPr>
                <w:bCs/>
                <w:color w:val="auto"/>
              </w:rPr>
              <w:t>Na</w:t>
            </w:r>
            <w:r>
              <w:rPr>
                <w:bCs/>
                <w:color w:val="auto"/>
              </w:rPr>
              <w:t>uki medyczne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5B824747" w:rsidR="00C01834" w:rsidRPr="00C01834" w:rsidRDefault="00520E5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Ogólnoakademicki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1E9E43F3" w:rsidR="00C01834" w:rsidRPr="00C01834" w:rsidRDefault="00520E5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CF571C5" w:rsidR="00C01834" w:rsidRPr="00520E5A" w:rsidRDefault="00520E5A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520E5A">
              <w:rPr>
                <w:bCs/>
                <w:color w:val="auto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01EBFC7B" w:rsidR="00A63CE6" w:rsidRPr="00520E5A" w:rsidRDefault="00520E5A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520E5A">
              <w:rPr>
                <w:bCs/>
                <w:color w:val="auto"/>
              </w:rPr>
              <w:t>Obowiązkowy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7E1D4C1C" w:rsidR="00A63CE6" w:rsidRPr="00520E5A" w:rsidRDefault="00520E5A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520E5A">
              <w:rPr>
                <w:bCs/>
                <w:color w:val="auto"/>
              </w:rPr>
              <w:t>Zaliczenie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546E74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bCs/>
                <w:iCs/>
                <w:szCs w:val="18"/>
              </w:rPr>
            </w:pPr>
            <w:r w:rsidRPr="008F1F73">
              <w:rPr>
                <w:bCs/>
                <w:iCs/>
                <w:szCs w:val="18"/>
              </w:rPr>
              <w:t>Katedra i Klinika Psychiatryczna WUM</w:t>
            </w:r>
          </w:p>
          <w:p w14:paraId="2B1E4C5B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ul. Nowowiejska 27, 00-665 Warszawa,</w:t>
            </w:r>
          </w:p>
          <w:p w14:paraId="44640E68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8F1F73">
              <w:rPr>
                <w:szCs w:val="18"/>
                <w:lang w:val="en-US"/>
              </w:rPr>
              <w:t>tel. +48 22 825 12 36</w:t>
            </w:r>
            <w:r w:rsidRPr="008F1F73">
              <w:rPr>
                <w:szCs w:val="18"/>
                <w:lang w:val="en-US"/>
              </w:rPr>
              <w:br/>
              <w:t>E-mail: sekretariat@psych.waw.pl</w:t>
            </w:r>
          </w:p>
          <w:p w14:paraId="4D899355" w14:textId="638D4E0A" w:rsidR="008130F1" w:rsidRPr="00C61007" w:rsidRDefault="008130F1" w:rsidP="008130F1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C61007">
              <w:rPr>
                <w:bCs/>
                <w:szCs w:val="18"/>
              </w:rPr>
              <w:t>http://www.psych.waw.pl</w:t>
            </w:r>
          </w:p>
          <w:p w14:paraId="31E5FEC5" w14:textId="77777777" w:rsidR="008130F1" w:rsidRPr="008F1F73" w:rsidRDefault="008130F1" w:rsidP="008130F1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</w:p>
          <w:p w14:paraId="5F6B8BB4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II Klinika Psychiatryczna</w:t>
            </w:r>
          </w:p>
          <w:p w14:paraId="3BDB64D0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Kondratowicza 8, 03-242 Warszawa, Mazowiecki Szpital Bródnowski</w:t>
            </w:r>
          </w:p>
          <w:p w14:paraId="6AB75308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Tel.+48 22 32 65 892</w:t>
            </w:r>
          </w:p>
          <w:p w14:paraId="15F94116" w14:textId="4A4B41E0" w:rsidR="008130F1" w:rsidRPr="008F1F73" w:rsidRDefault="008130F1" w:rsidP="008130F1">
            <w:pPr>
              <w:autoSpaceDE w:val="0"/>
              <w:autoSpaceDN w:val="0"/>
              <w:adjustRightInd w:val="0"/>
              <w:rPr>
                <w:color w:val="auto"/>
                <w:szCs w:val="18"/>
              </w:rPr>
            </w:pPr>
            <w:r w:rsidRPr="008F1F73">
              <w:rPr>
                <w:color w:val="auto"/>
                <w:szCs w:val="18"/>
              </w:rPr>
              <w:t xml:space="preserve">E-mail: </w:t>
            </w:r>
            <w:r w:rsidRPr="00C61007">
              <w:rPr>
                <w:szCs w:val="18"/>
              </w:rPr>
              <w:t>psychiatria@brodnowski.pl</w:t>
            </w:r>
          </w:p>
          <w:p w14:paraId="1642A10B" w14:textId="42909006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C61007">
              <w:rPr>
                <w:szCs w:val="18"/>
              </w:rPr>
              <w:t>http://psychiatria2.wum.edu.pl</w:t>
            </w:r>
          </w:p>
          <w:p w14:paraId="1528D161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14:paraId="59F53A6C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Klinika Psychiatrii Wieku Rozwojowego</w:t>
            </w:r>
          </w:p>
          <w:p w14:paraId="2FCF2650" w14:textId="77777777" w:rsidR="008130F1" w:rsidRPr="008F1F73" w:rsidRDefault="008130F1" w:rsidP="008130F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F1F73">
              <w:rPr>
                <w:szCs w:val="18"/>
              </w:rPr>
              <w:t>Żwirki i Wigury 63a, 02-091 Warszawa, Dziecięcy Szpital Kliniczny - UCK WUM</w:t>
            </w:r>
          </w:p>
          <w:p w14:paraId="38FDA62D" w14:textId="77777777" w:rsidR="008130F1" w:rsidRPr="008F1F73" w:rsidRDefault="008130F1" w:rsidP="008130F1">
            <w:pPr>
              <w:autoSpaceDE w:val="0"/>
              <w:autoSpaceDN w:val="0"/>
              <w:adjustRightInd w:val="0"/>
              <w:ind w:left="708" w:hanging="708"/>
              <w:rPr>
                <w:color w:val="auto"/>
                <w:szCs w:val="18"/>
              </w:rPr>
            </w:pPr>
            <w:r w:rsidRPr="008F1F73">
              <w:rPr>
                <w:color w:val="auto"/>
                <w:szCs w:val="18"/>
              </w:rPr>
              <w:t>Tel. +48 22 31 79 251</w:t>
            </w:r>
          </w:p>
          <w:p w14:paraId="75DCE163" w14:textId="655AD8A3" w:rsidR="008130F1" w:rsidRPr="008F1F73" w:rsidRDefault="008130F1" w:rsidP="008130F1">
            <w:pPr>
              <w:autoSpaceDE w:val="0"/>
              <w:autoSpaceDN w:val="0"/>
              <w:adjustRightInd w:val="0"/>
              <w:ind w:left="708" w:hanging="708"/>
              <w:rPr>
                <w:color w:val="auto"/>
                <w:szCs w:val="18"/>
              </w:rPr>
            </w:pPr>
            <w:r w:rsidRPr="008F1F73">
              <w:rPr>
                <w:color w:val="auto"/>
                <w:szCs w:val="18"/>
              </w:rPr>
              <w:t xml:space="preserve">E-mail: </w:t>
            </w:r>
            <w:r w:rsidRPr="00C61007">
              <w:rPr>
                <w:szCs w:val="18"/>
              </w:rPr>
              <w:t>psychiatria.dsk@uckwum.pl</w:t>
            </w:r>
          </w:p>
          <w:p w14:paraId="3685F30C" w14:textId="4F2E5F67" w:rsidR="00A63CE6" w:rsidRPr="00C01834" w:rsidRDefault="008130F1" w:rsidP="008130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61007">
              <w:rPr>
                <w:szCs w:val="18"/>
              </w:rPr>
              <w:t>http://psychiatria-litewska.wum.edu.pl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48FA2F7" w14:textId="77777777" w:rsidR="00AD7BA1" w:rsidRPr="00AD7BA1" w:rsidRDefault="00AD7BA1" w:rsidP="00AD7BA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AD7BA1">
              <w:rPr>
                <w:bCs/>
                <w:color w:val="auto"/>
              </w:rPr>
              <w:t>Prof. dr hab. n. med. Marcin Wojnar</w:t>
            </w:r>
          </w:p>
          <w:p w14:paraId="256BC98E" w14:textId="77777777" w:rsidR="00AD7BA1" w:rsidRPr="00AD7BA1" w:rsidRDefault="00AD7BA1" w:rsidP="00AD7BA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AD7BA1">
              <w:rPr>
                <w:bCs/>
                <w:color w:val="auto"/>
              </w:rPr>
              <w:t>Prof. dr hab. n. med. Andrzej Kokoszka</w:t>
            </w:r>
          </w:p>
          <w:p w14:paraId="7F7E5DFB" w14:textId="33200EAC" w:rsidR="006D018B" w:rsidRPr="00C01834" w:rsidRDefault="00AD7BA1" w:rsidP="00AD7BA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AD7BA1">
              <w:rPr>
                <w:bCs/>
                <w:color w:val="auto"/>
              </w:rPr>
              <w:t>Prof. dr hab. n. med. Tomasz Wolańczyk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E9E19C" w14:textId="77777777" w:rsidR="008130F1" w:rsidRPr="008F1F73" w:rsidRDefault="008130F1" w:rsidP="008130F1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Cs w:val="18"/>
              </w:rPr>
            </w:pPr>
            <w:r w:rsidRPr="008F1F73">
              <w:rPr>
                <w:bCs/>
                <w:iCs/>
                <w:szCs w:val="18"/>
                <w:lang w:val="en-US"/>
              </w:rPr>
              <w:t xml:space="preserve">Prof. dr hab. n. med. </w:t>
            </w:r>
            <w:r w:rsidRPr="008F1F73">
              <w:rPr>
                <w:bCs/>
                <w:iCs/>
                <w:szCs w:val="18"/>
              </w:rPr>
              <w:t xml:space="preserve">Marcin Wojnar,  </w:t>
            </w:r>
          </w:p>
          <w:p w14:paraId="1D975D70" w14:textId="0FF6FD05" w:rsidR="006D018B" w:rsidRPr="00C01834" w:rsidRDefault="008130F1" w:rsidP="008130F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auto"/>
              </w:rPr>
            </w:pPr>
            <w:r w:rsidRPr="008F1F73">
              <w:rPr>
                <w:bCs/>
                <w:iCs/>
                <w:szCs w:val="18"/>
              </w:rPr>
              <w:t>marcin.wojnar@wum.edu.pl</w:t>
            </w:r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05F8DCF9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A78C4D" w14:textId="77777777" w:rsidR="001F7886" w:rsidRPr="008F1F73" w:rsidRDefault="001F7886" w:rsidP="001F7886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Cs w:val="18"/>
              </w:rPr>
            </w:pPr>
            <w:r w:rsidRPr="008F1F73">
              <w:rPr>
                <w:bCs/>
                <w:iCs/>
                <w:szCs w:val="18"/>
              </w:rPr>
              <w:t xml:space="preserve">mgr Małgorzata Abramowska, </w:t>
            </w:r>
          </w:p>
          <w:p w14:paraId="4F3E18BC" w14:textId="3CBE49DA" w:rsidR="006D018B" w:rsidRPr="00C01834" w:rsidRDefault="001F7886" w:rsidP="001F788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F1F73">
              <w:rPr>
                <w:iCs/>
                <w:szCs w:val="18"/>
              </w:rPr>
              <w:t>malgorzata.abramowska@wum.edu.pl</w:t>
            </w:r>
            <w:r w:rsidRPr="008F1F73">
              <w:rPr>
                <w:bCs/>
                <w:iCs/>
                <w:szCs w:val="18"/>
              </w:rPr>
              <w:t>; 22 116 53 43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165297" w14:textId="701DAD61" w:rsidR="001A7487" w:rsidRDefault="001F7886" w:rsidP="001A7487">
            <w:pPr>
              <w:autoSpaceDE w:val="0"/>
              <w:autoSpaceDN w:val="0"/>
              <w:adjustRightInd w:val="0"/>
              <w:spacing w:line="360" w:lineRule="auto"/>
              <w:rPr>
                <w:rStyle w:val="Hipercze"/>
                <w:color w:val="auto"/>
                <w:szCs w:val="18"/>
                <w:u w:val="none"/>
                <w:lang w:val="en-GB"/>
              </w:rPr>
            </w:pPr>
            <w:r w:rsidRPr="008F1F73">
              <w:rPr>
                <w:bCs/>
                <w:iCs/>
                <w:szCs w:val="18"/>
              </w:rPr>
              <w:t>Katedra i Klinika Psychiatryczna:</w:t>
            </w:r>
            <w:r w:rsidR="001A7487">
              <w:rPr>
                <w:bCs/>
                <w:iCs/>
                <w:szCs w:val="18"/>
              </w:rPr>
              <w:t xml:space="preserve"> </w:t>
            </w:r>
            <w:r w:rsidR="001A7487">
              <w:rPr>
                <w:bCs/>
                <w:iCs/>
              </w:rPr>
              <w:t xml:space="preserve">                                                                                                                           </w:t>
            </w:r>
            <w:r w:rsidR="001A7487">
              <w:rPr>
                <w:rStyle w:val="normaltextrun"/>
                <w:szCs w:val="18"/>
              </w:rPr>
              <w:t xml:space="preserve">mgr Małgorzata Abramowska; malgorzata.abramowska@wum.edu.pl </w:t>
            </w:r>
            <w:r w:rsidR="001A7487">
              <w:rPr>
                <w:rStyle w:val="normaltextrun"/>
                <w:szCs w:val="18"/>
              </w:rPr>
              <w:t xml:space="preserve"> </w:t>
            </w:r>
            <w:r w:rsidR="001A7487">
              <w:rPr>
                <w:rStyle w:val="normaltextrun"/>
              </w:rPr>
              <w:t xml:space="preserve">                           </w:t>
            </w:r>
            <w:r w:rsidR="00B6294B">
              <w:rPr>
                <w:rStyle w:val="normaltextrun"/>
              </w:rPr>
              <w:t xml:space="preserve">          </w:t>
            </w:r>
            <w:r w:rsidR="001A7487" w:rsidRPr="00562E8C">
              <w:rPr>
                <w:rStyle w:val="normaltextrun"/>
                <w:szCs w:val="18"/>
                <w:lang w:val="en-GB"/>
              </w:rPr>
              <w:t xml:space="preserve">mgr Kinga Michalak </w:t>
            </w:r>
            <w:r w:rsidR="001A7487" w:rsidRPr="00C61007">
              <w:rPr>
                <w:szCs w:val="18"/>
                <w:lang w:val="en-GB"/>
              </w:rPr>
              <w:t>kinga.michalak@wum.edu.pl</w:t>
            </w:r>
          </w:p>
          <w:p w14:paraId="07345F85" w14:textId="6C3D9C19" w:rsidR="0084453C" w:rsidRPr="0084453C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rStyle w:val="eop"/>
                <w:szCs w:val="18"/>
              </w:rPr>
            </w:pPr>
            <w:r w:rsidRPr="0084453C">
              <w:rPr>
                <w:rStyle w:val="eop"/>
                <w:szCs w:val="18"/>
              </w:rPr>
              <w:t xml:space="preserve">dr n. med. Dariusz Maciej Myszka; dariusz.myszka@wum.edu.pl </w:t>
            </w:r>
          </w:p>
          <w:p w14:paraId="7F411940" w14:textId="77777777" w:rsidR="0084453C" w:rsidRPr="0084453C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rStyle w:val="eop"/>
                <w:szCs w:val="18"/>
              </w:rPr>
            </w:pPr>
            <w:r w:rsidRPr="0084453C">
              <w:rPr>
                <w:rStyle w:val="eop"/>
                <w:szCs w:val="18"/>
              </w:rPr>
              <w:t xml:space="preserve">dr n. med. Anna Wnorowska; anna.wnorowska@wum.edu.pl </w:t>
            </w:r>
          </w:p>
          <w:p w14:paraId="1E9269EE" w14:textId="563CFD08" w:rsidR="001A7487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rStyle w:val="eop"/>
                <w:szCs w:val="18"/>
              </w:rPr>
            </w:pPr>
            <w:r w:rsidRPr="0084453C">
              <w:rPr>
                <w:rStyle w:val="eop"/>
                <w:szCs w:val="18"/>
              </w:rPr>
              <w:t>dr Justyna Zaorska; justyna.zaorska@wum.edu.pl</w:t>
            </w:r>
          </w:p>
          <w:p w14:paraId="716F231B" w14:textId="77777777" w:rsidR="0084453C" w:rsidRPr="008F1F73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Cs w:val="18"/>
              </w:rPr>
            </w:pPr>
          </w:p>
          <w:p w14:paraId="4BB46D10" w14:textId="77777777" w:rsidR="0084453C" w:rsidRPr="0084453C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84453C">
              <w:rPr>
                <w:szCs w:val="18"/>
              </w:rPr>
              <w:t>II Klinika Psychiatryczna:</w:t>
            </w:r>
          </w:p>
          <w:p w14:paraId="63C8CEC2" w14:textId="77777777" w:rsidR="0084453C" w:rsidRPr="0084453C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84453C">
              <w:rPr>
                <w:szCs w:val="18"/>
              </w:rPr>
              <w:t>mgr Julia Dempniak-Pawłowska                                                                                                                       mgr Damian Damięcki, d.damiecki@brodnowski.pl</w:t>
            </w:r>
          </w:p>
          <w:p w14:paraId="476869FE" w14:textId="771F9E56" w:rsidR="006C5239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84453C">
              <w:rPr>
                <w:szCs w:val="18"/>
              </w:rPr>
              <w:t>mgr Joanna Mikuła</w:t>
            </w:r>
          </w:p>
          <w:p w14:paraId="0BE95356" w14:textId="77777777" w:rsidR="0084453C" w:rsidRPr="008F1F73" w:rsidRDefault="0084453C" w:rsidP="0084453C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</w:p>
          <w:p w14:paraId="6E5C9866" w14:textId="77777777" w:rsidR="001F7886" w:rsidRPr="008F1F73" w:rsidRDefault="001F7886" w:rsidP="001F7886">
            <w:pPr>
              <w:autoSpaceDE w:val="0"/>
              <w:autoSpaceDN w:val="0"/>
              <w:adjustRightInd w:val="0"/>
              <w:spacing w:line="360" w:lineRule="auto"/>
              <w:rPr>
                <w:szCs w:val="18"/>
              </w:rPr>
            </w:pPr>
            <w:r w:rsidRPr="008F1F73">
              <w:rPr>
                <w:szCs w:val="18"/>
              </w:rPr>
              <w:t>Klinika Psychiatrii Wieku Rozwojowego:</w:t>
            </w:r>
          </w:p>
          <w:p w14:paraId="7AC4ED19" w14:textId="67114E42" w:rsidR="00517717" w:rsidRPr="00517717" w:rsidRDefault="00517717" w:rsidP="0051771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</w:t>
            </w:r>
            <w:r w:rsidRPr="00517717">
              <w:rPr>
                <w:bCs/>
                <w:color w:val="auto"/>
              </w:rPr>
              <w:t>r n. med. Tomasz Srebnicki, tomasz.srebnicki@wum.edu.pl</w:t>
            </w:r>
          </w:p>
          <w:p w14:paraId="6FC8DD4D" w14:textId="77777777" w:rsidR="00517717" w:rsidRPr="00517717" w:rsidRDefault="00517717" w:rsidP="0051771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</w:rPr>
            </w:pPr>
            <w:r w:rsidRPr="00517717">
              <w:rPr>
                <w:bCs/>
                <w:color w:val="auto"/>
              </w:rPr>
              <w:t>mgr Renata Bieniek-Pocielej, renata.bieniek-pociej@wum.edu.pl</w:t>
            </w:r>
          </w:p>
          <w:p w14:paraId="07DED1AE" w14:textId="77777777" w:rsidR="00517717" w:rsidRPr="00517717" w:rsidRDefault="00517717" w:rsidP="0051771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</w:rPr>
            </w:pPr>
            <w:r w:rsidRPr="00517717">
              <w:rPr>
                <w:bCs/>
                <w:color w:val="auto"/>
              </w:rPr>
              <w:t>mgr Łukasz Konowałek, lukasz.konowalek@wum.edu.pl</w:t>
            </w:r>
          </w:p>
          <w:p w14:paraId="0A1EB9AF" w14:textId="77777777" w:rsidR="00517717" w:rsidRPr="00517717" w:rsidRDefault="00517717" w:rsidP="0051771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auto"/>
              </w:rPr>
            </w:pPr>
            <w:r w:rsidRPr="00517717">
              <w:rPr>
                <w:bCs/>
                <w:color w:val="auto"/>
              </w:rPr>
              <w:t>mgr Barbara Kowalik-Kamińska, barbara.kowalik-kaminska@wum.edu.pl</w:t>
            </w:r>
          </w:p>
          <w:p w14:paraId="2D0C66FD" w14:textId="57C62E43" w:rsidR="006D018B" w:rsidRPr="00C01834" w:rsidRDefault="00517717" w:rsidP="00517717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auto"/>
              </w:rPr>
            </w:pPr>
            <w:r w:rsidRPr="00517717">
              <w:rPr>
                <w:bCs/>
                <w:color w:val="auto"/>
              </w:rPr>
              <w:t>mgr Sławomir Urmański, slawomir.urmanski@wum.edu.pl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191E9217" w:rsidR="00C92ECE" w:rsidRPr="00C01834" w:rsidRDefault="00860B5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rok, II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190B2F00" w:rsidR="00C92ECE" w:rsidRPr="00C01834" w:rsidRDefault="00860B5E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5D16DDA1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462B6352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0,25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29BD79E3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D217D25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6C5D582B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41E72382" w:rsidR="00C01834" w:rsidRPr="00C01834" w:rsidRDefault="00860B5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0,25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6E91DC65" w:rsidR="00C01834" w:rsidRPr="00C01834" w:rsidRDefault="003C787F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>Zdobycie wiedzy dotyczącej etiologii, profilaktyki i terapii uzależnień od substancji psychoaktywnych i uzależnień behawioralnych</w:t>
            </w:r>
            <w:r w:rsidR="00B6294B">
              <w:rPr>
                <w:color w:val="auto"/>
              </w:rPr>
              <w:t>.</w:t>
            </w:r>
          </w:p>
        </w:tc>
      </w:tr>
      <w:tr w:rsidR="00C01834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6CC10FB7" w:rsidR="00C01834" w:rsidRPr="00C01834" w:rsidRDefault="003C787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Cs/>
                <w:iCs/>
                <w:szCs w:val="18"/>
              </w:rPr>
              <w:t>Nabycie umiejętności rozwiązywania problemów pojawiających się</w:t>
            </w:r>
            <w:r w:rsidRPr="00342DE9">
              <w:rPr>
                <w:bCs/>
                <w:iCs/>
                <w:szCs w:val="18"/>
              </w:rPr>
              <w:t xml:space="preserve"> w pracy z pacjent</w:t>
            </w:r>
            <w:r>
              <w:rPr>
                <w:bCs/>
                <w:iCs/>
                <w:szCs w:val="18"/>
              </w:rPr>
              <w:t>e</w:t>
            </w:r>
            <w:r w:rsidRPr="00342DE9">
              <w:rPr>
                <w:bCs/>
                <w:iCs/>
                <w:szCs w:val="18"/>
              </w:rPr>
              <w:t>m uzależnionym i współuzależnionym</w:t>
            </w:r>
            <w:r w:rsidR="00B6294B">
              <w:rPr>
                <w:bCs/>
                <w:iCs/>
                <w:szCs w:val="18"/>
              </w:rPr>
              <w:t>.</w:t>
            </w:r>
          </w:p>
        </w:tc>
      </w:tr>
      <w:tr w:rsidR="00C01834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4584D797" w:rsidR="00C01834" w:rsidRPr="00C01834" w:rsidRDefault="003C787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Cs/>
                <w:iCs/>
                <w:szCs w:val="18"/>
              </w:rPr>
              <w:t>Kształtowanie kompetencji społecznych w zakresie nawiązania pełnego szacunku kontaktu z pacjentem, okazywania zrozumienia i kierowaniu się dobrem pacjenta</w:t>
            </w:r>
            <w:r w:rsidR="00B6294B">
              <w:rPr>
                <w:bCs/>
                <w:iCs/>
                <w:szCs w:val="18"/>
              </w:rPr>
              <w:t>.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17D76A6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32FBCF5B" w:rsidR="00C01834" w:rsidRPr="00C01834" w:rsidRDefault="00006D1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C.W36.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37111183" w:rsidR="00C01834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objawy najczęściej występujących ostrych zatruć wybranymi grupami leków, alkoholami oraz innymi substancjami psychoaktywnymi, grzybami oraz metalami ciężkimi;</w:t>
            </w:r>
          </w:p>
        </w:tc>
      </w:tr>
      <w:tr w:rsidR="00C01834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0D5B351E" w:rsidR="00C01834" w:rsidRPr="00C01834" w:rsidRDefault="00006D1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D.W12.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0E71AC4F" w:rsidR="00C01834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</w:tr>
      <w:tr w:rsidR="00006D19" w:rsidRPr="00C01834" w14:paraId="1605192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8F193A7" w14:textId="45D38EAB" w:rsidR="00006D19" w:rsidRDefault="00006D1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D.W1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6BA596A" w14:textId="4BDCC5B8" w:rsidR="00006D19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</w:tr>
      <w:tr w:rsidR="00006D19" w:rsidRPr="00C01834" w14:paraId="0CE30BF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8C205F" w14:textId="7649CFF8" w:rsidR="00006D19" w:rsidRDefault="00AD5EB1" w:rsidP="00AD5EB1">
            <w:pPr>
              <w:spacing w:after="0" w:line="259" w:lineRule="auto"/>
              <w:ind w:left="161" w:firstLine="0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006D19">
              <w:rPr>
                <w:color w:val="auto"/>
              </w:rPr>
              <w:t>D.W1</w:t>
            </w:r>
            <w:r w:rsidR="00006D19">
              <w:rPr>
                <w:color w:val="auto"/>
              </w:rPr>
              <w:t>6</w:t>
            </w:r>
            <w:r w:rsidR="00006D19">
              <w:rPr>
                <w:color w:val="auto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4C2B694" w14:textId="4F5C1040" w:rsidR="00006D19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prawa pacjenta oraz pojęcie dobra pacjenta;</w:t>
            </w:r>
          </w:p>
        </w:tc>
      </w:tr>
      <w:tr w:rsidR="00006D19" w:rsidRPr="00C01834" w14:paraId="44CE76F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FAA3FC3" w14:textId="02FB9372" w:rsidR="00006D19" w:rsidRDefault="00AD5EB1" w:rsidP="00AD5EB1">
            <w:pPr>
              <w:spacing w:after="0" w:line="259" w:lineRule="auto"/>
              <w:ind w:left="161" w:firstLine="0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4B784A">
              <w:rPr>
                <w:color w:val="auto"/>
              </w:rPr>
              <w:t xml:space="preserve">  </w:t>
            </w:r>
            <w:r>
              <w:rPr>
                <w:color w:val="auto"/>
              </w:rPr>
              <w:t>E</w:t>
            </w:r>
            <w:r>
              <w:rPr>
                <w:color w:val="auto"/>
              </w:rPr>
              <w:t>.W1</w:t>
            </w:r>
            <w:r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6ABAF6" w14:textId="77777777" w:rsidR="00006D19" w:rsidRDefault="00BD233D" w:rsidP="00D773DA">
            <w:pPr>
              <w:spacing w:after="0" w:line="259" w:lineRule="auto"/>
              <w:ind w:left="0" w:firstLine="0"/>
            </w:pPr>
            <w: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15CEBC9" w14:textId="4EF2B58C" w:rsidR="00BD233D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5) zaburzeń związanych z przyjmowaniem substancji psychoaktywnych;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08AF6EBC" w:rsidR="00C01834" w:rsidRPr="00C01834" w:rsidRDefault="0054240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E.U11.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63949152" w:rsidR="00C01834" w:rsidRPr="00C01834" w:rsidRDefault="00BD233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</w:tr>
      <w:tr w:rsidR="00C01834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3DC3C9D9" w:rsidR="00C01834" w:rsidRPr="00C01834" w:rsidRDefault="0054240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E.U</w:t>
            </w:r>
            <w:r>
              <w:rPr>
                <w:color w:val="auto"/>
              </w:rPr>
              <w:t>26</w:t>
            </w:r>
            <w:r>
              <w:rPr>
                <w:color w:val="auto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3D626C34" w:rsidR="00C01834" w:rsidRPr="00C01834" w:rsidRDefault="00B4744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</w:tr>
      <w:tr w:rsidR="00542402" w:rsidRPr="00C01834" w14:paraId="01062BA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3C2BE19" w14:textId="57EC825C" w:rsidR="00542402" w:rsidRDefault="0054240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E.U</w:t>
            </w:r>
            <w:r>
              <w:rPr>
                <w:color w:val="auto"/>
              </w:rPr>
              <w:t>28</w:t>
            </w:r>
            <w:r>
              <w:rPr>
                <w:color w:val="auto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03920A" w14:textId="5F2225AE" w:rsidR="00542402" w:rsidRPr="00C01834" w:rsidRDefault="00B4744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</w:tr>
      <w:tr w:rsidR="00542402" w:rsidRPr="00C01834" w14:paraId="50872E13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37C906" w14:textId="2E589DFF" w:rsidR="00542402" w:rsidRDefault="0054240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E.U</w:t>
            </w:r>
            <w:r>
              <w:rPr>
                <w:color w:val="auto"/>
              </w:rPr>
              <w:t>29</w:t>
            </w:r>
            <w:r>
              <w:rPr>
                <w:color w:val="auto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27D0EE" w14:textId="5C2EB043" w:rsidR="00542402" w:rsidRPr="00C01834" w:rsidRDefault="00B4744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</w:tr>
    </w:tbl>
    <w:p w14:paraId="6BA0B429" w14:textId="4D2B93F4" w:rsidR="00C01834" w:rsidRPr="00B8221A" w:rsidRDefault="00C01834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23221383" w:rsidR="00C01834" w:rsidRPr="00C01834" w:rsidRDefault="0003126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skalę zjawiska uzależnień i dynamikę zmian epidemiologicznych</w:t>
            </w: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320C07FA" w:rsidR="00C01834" w:rsidRPr="00C01834" w:rsidRDefault="0003126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uzależnienia behawioralne</w:t>
            </w:r>
          </w:p>
        </w:tc>
      </w:tr>
      <w:tr w:rsidR="00031264" w:rsidRPr="00C01834" w14:paraId="41804474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297F4AB" w14:textId="4F93EDF0" w:rsidR="00031264" w:rsidRPr="00C01834" w:rsidRDefault="0003126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A9216C5" w14:textId="1B9E9F1A" w:rsidR="00031264" w:rsidRDefault="00C218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współuzależnienie i problemy z niego wynikające</w:t>
            </w:r>
          </w:p>
        </w:tc>
      </w:tr>
      <w:tr w:rsidR="00C2181E" w:rsidRPr="00C01834" w14:paraId="655FEA6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7A6021" w14:textId="1BC9E1CD" w:rsidR="00C2181E" w:rsidRDefault="00C2181E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C67ABF" w14:textId="76306377" w:rsidR="00C2181E" w:rsidRDefault="00C218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rolę lekarza w profilaktyce uzależnień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4DD2BFF" w:rsidR="00C01834" w:rsidRPr="00C01834" w:rsidRDefault="00C218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rozpoznawać uzależnienie i współuzależnienie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66794ED0" w:rsidR="00C01834" w:rsidRPr="00C01834" w:rsidRDefault="00C218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reagować na ryzykowne zachowania pacjenta</w:t>
            </w:r>
          </w:p>
        </w:tc>
      </w:tr>
      <w:tr w:rsidR="00C2181E" w:rsidRPr="00C01834" w14:paraId="32C1CA3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B95E870" w14:textId="269A2AF7" w:rsidR="00C2181E" w:rsidRPr="00C01834" w:rsidRDefault="00C2181E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102C810" w14:textId="669629FA" w:rsidR="00C2181E" w:rsidRDefault="00C218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wskazać pacjentowi gdzie zwrócić się po pomoc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AEC314" w14:textId="77777777" w:rsidR="00943CA5" w:rsidRPr="00342DE9" w:rsidRDefault="00943CA5" w:rsidP="00943CA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342DE9">
              <w:rPr>
                <w:color w:val="auto"/>
                <w:szCs w:val="18"/>
              </w:rPr>
              <w:t xml:space="preserve">nawiązania i utrzymania głębokiego oraz pełnego szacunku kontaktu z pacjentem, a także </w:t>
            </w:r>
          </w:p>
          <w:p w14:paraId="37071A64" w14:textId="727EB2E0" w:rsidR="00C01834" w:rsidRPr="00C01834" w:rsidRDefault="00943CA5" w:rsidP="00943CA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2DE9">
              <w:rPr>
                <w:color w:val="auto"/>
                <w:szCs w:val="18"/>
              </w:rPr>
              <w:t>okazywania zrozumienia dla różnic światopoglądowych i kulturowych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597768F7" w:rsidR="00C01834" w:rsidRPr="00C01834" w:rsidRDefault="00943CA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2DE9">
              <w:rPr>
                <w:color w:val="auto"/>
                <w:szCs w:val="18"/>
              </w:rPr>
              <w:t>kierowania się dobrem pacjenta</w:t>
            </w:r>
          </w:p>
        </w:tc>
      </w:tr>
      <w:tr w:rsidR="00943CA5" w:rsidRPr="00C01834" w14:paraId="60A6C5C4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EAE2E58" w14:textId="65381FCE" w:rsidR="00943CA5" w:rsidRPr="00C01834" w:rsidRDefault="00943CA5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34B8E9" w14:textId="5C3E7C9D" w:rsidR="00943CA5" w:rsidRPr="00C01834" w:rsidRDefault="00943CA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2DE9">
              <w:rPr>
                <w:color w:val="auto"/>
                <w:szCs w:val="18"/>
              </w:rPr>
              <w:t>przestrzegania tajemnicy lekarskiej i praw pacjenta</w:t>
            </w:r>
          </w:p>
        </w:tc>
      </w:tr>
      <w:tr w:rsidR="00943CA5" w:rsidRPr="00C01834" w14:paraId="48B667C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3B09DAE" w14:textId="6434DCCB" w:rsidR="00943CA5" w:rsidRPr="00C01834" w:rsidRDefault="00943CA5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9FA52C" w14:textId="77777777" w:rsidR="00943CA5" w:rsidRPr="00342DE9" w:rsidRDefault="00943CA5" w:rsidP="00943CA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342DE9">
              <w:rPr>
                <w:color w:val="auto"/>
                <w:szCs w:val="18"/>
              </w:rPr>
              <w:t xml:space="preserve">dostrzegania i rozpoznawania własnych ograniczeń oraz dokonywania samooceny </w:t>
            </w:r>
          </w:p>
          <w:p w14:paraId="499DE065" w14:textId="24905543" w:rsidR="00943CA5" w:rsidRPr="00C01834" w:rsidRDefault="00943CA5" w:rsidP="00943CA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2DE9">
              <w:rPr>
                <w:color w:val="auto"/>
                <w:szCs w:val="18"/>
              </w:rPr>
              <w:t>deficytów i potrzeb edukacyjnych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7FB84181" w:rsidR="00A3096F" w:rsidRPr="00C01834" w:rsidRDefault="00AA70EE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rStyle w:val="normaltextrun"/>
                <w:szCs w:val="18"/>
              </w:rPr>
              <w:t>S1 - Seminarium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67C4C49D" w:rsidR="00A3096F" w:rsidRPr="00C01834" w:rsidRDefault="0079232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Pr="006400EC">
              <w:rPr>
                <w:color w:val="auto"/>
              </w:rPr>
              <w:t>zależnieni</w:t>
            </w:r>
            <w:r>
              <w:rPr>
                <w:color w:val="auto"/>
              </w:rPr>
              <w:t>e</w:t>
            </w:r>
            <w:r w:rsidRPr="006400EC">
              <w:rPr>
                <w:color w:val="auto"/>
              </w:rPr>
              <w:t xml:space="preserve"> od alkoholu.</w:t>
            </w:r>
            <w:r>
              <w:rPr>
                <w:color w:val="auto"/>
              </w:rPr>
              <w:t xml:space="preserve">                     </w:t>
            </w:r>
            <w:r w:rsidRPr="006400EC">
              <w:rPr>
                <w:color w:val="auto"/>
              </w:rPr>
              <w:t xml:space="preserve">                                     Epidemiologia uzależnienia od alkoholu, motywy używania alkoholu, definicje pojęć: picie ryzykowne, picie szkodliwe, uzależnienie od alkoholu</w:t>
            </w:r>
            <w:r>
              <w:rPr>
                <w:color w:val="auto"/>
              </w:rPr>
              <w:t>, medyczne aspekty uzależnienia</w:t>
            </w:r>
            <w:r w:rsidR="00C108A6">
              <w:rPr>
                <w:color w:val="auto"/>
              </w:rPr>
              <w:t xml:space="preserve">, </w:t>
            </w:r>
            <w:r w:rsidR="00C108A6" w:rsidRPr="006400EC">
              <w:rPr>
                <w:color w:val="auto"/>
              </w:rPr>
              <w:t>wysoko</w:t>
            </w:r>
            <w:r w:rsidR="00C108A6">
              <w:rPr>
                <w:color w:val="auto"/>
              </w:rPr>
              <w:t xml:space="preserve"> </w:t>
            </w:r>
            <w:r w:rsidR="00C108A6" w:rsidRPr="006400EC">
              <w:rPr>
                <w:color w:val="auto"/>
              </w:rPr>
              <w:t>funkcjonujący alkoholicy (HFA)</w:t>
            </w:r>
            <w:r w:rsidR="00C108A6">
              <w:rPr>
                <w:color w:val="auto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5A3C4566" w:rsidR="00A3096F" w:rsidRPr="00C01834" w:rsidRDefault="00F0356E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C.W36., D.W12., D.W13., E.W18</w:t>
            </w:r>
            <w:r w:rsidR="00AD036F">
              <w:rPr>
                <w:color w:val="auto"/>
              </w:rPr>
              <w:t>.5</w:t>
            </w:r>
            <w:r>
              <w:rPr>
                <w:color w:val="auto"/>
              </w:rPr>
              <w:t>, W1, W3.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0C1B63B1" w:rsidR="00A3096F" w:rsidRPr="00C01834" w:rsidRDefault="00AA70EE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rStyle w:val="normaltextrun"/>
                <w:szCs w:val="18"/>
              </w:rPr>
              <w:t>S</w:t>
            </w:r>
            <w:r>
              <w:rPr>
                <w:rStyle w:val="normaltextrun"/>
                <w:szCs w:val="18"/>
              </w:rPr>
              <w:t>2</w:t>
            </w:r>
            <w:r>
              <w:rPr>
                <w:rStyle w:val="normaltextrun"/>
                <w:szCs w:val="18"/>
              </w:rPr>
              <w:t xml:space="preserve"> - Seminarium </w:t>
            </w:r>
            <w:r>
              <w:rPr>
                <w:rStyle w:val="normaltextrun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E2B161A" w14:textId="77777777" w:rsidR="00792320" w:rsidRPr="006400EC" w:rsidRDefault="00792320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00EC">
              <w:rPr>
                <w:color w:val="auto"/>
              </w:rPr>
              <w:t>Uzależnienie od narkotyków i nowych substancji psychoaktywnych.</w:t>
            </w:r>
          </w:p>
          <w:p w14:paraId="21AFAD14" w14:textId="5CD1A425" w:rsidR="00A3096F" w:rsidRPr="00C01834" w:rsidRDefault="00792320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400EC">
              <w:rPr>
                <w:color w:val="auto"/>
              </w:rPr>
              <w:t>Czynniki ryzyka rozwoju uzależnień od substancji: społeczne, psychologiczne, genetyczne, biologiczne, rozpoznawanie uzależnień: kryteria diagnostyczne w oparciu o klasyfikację ICD 10 i ICD 11;  potencjał uzależniający substancji psychoaktywnych, uzależnienie fizyczne i psychiczne od substancji psychoaktywnych, grupy substancji psychoaktywnych</w:t>
            </w:r>
            <w:r>
              <w:rPr>
                <w:color w:val="auto"/>
              </w:rPr>
              <w:t>:</w:t>
            </w:r>
            <w:r w:rsidRPr="006400EC">
              <w:rPr>
                <w:color w:val="auto"/>
              </w:rPr>
              <w:t xml:space="preserve"> opioidy, kannabinoidy, halucynogeny, stymulanty, benzodiazepiny, nowe substancje psychoaktywne</w:t>
            </w:r>
            <w:r>
              <w:rPr>
                <w:color w:val="auto"/>
              </w:rPr>
              <w:t xml:space="preserve"> (NSP);</w:t>
            </w:r>
            <w:r w:rsidRPr="006400EC">
              <w:rPr>
                <w:color w:val="auto"/>
              </w:rPr>
              <w:t xml:space="preserve"> działanie, zespoły abstynencyjne</w:t>
            </w:r>
            <w:r>
              <w:rPr>
                <w:color w:val="auto"/>
              </w:rPr>
              <w:t>.</w:t>
            </w:r>
            <w:r w:rsidRPr="006400EC">
              <w:rPr>
                <w:color w:val="auto"/>
              </w:rPr>
              <w:t> 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5012984E" w:rsidR="00A3096F" w:rsidRPr="00C01834" w:rsidRDefault="001641B6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C.W36., D.W12., D.W13., E.W18</w:t>
            </w:r>
            <w:r w:rsidR="00D55FBF">
              <w:rPr>
                <w:color w:val="auto"/>
              </w:rPr>
              <w:t>.5</w:t>
            </w:r>
            <w:r>
              <w:rPr>
                <w:color w:val="auto"/>
              </w:rPr>
              <w:t>, W1, W3.</w:t>
            </w:r>
          </w:p>
        </w:tc>
      </w:tr>
      <w:tr w:rsidR="00AA70EE" w:rsidRPr="00C01834" w14:paraId="2889BAE6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289B2D9" w14:textId="0915C45A" w:rsidR="00AA70EE" w:rsidRDefault="00AA70EE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</w:rPr>
              <w:t>S</w:t>
            </w:r>
            <w:r>
              <w:rPr>
                <w:rStyle w:val="normaltextrun"/>
                <w:szCs w:val="18"/>
              </w:rPr>
              <w:t>3</w:t>
            </w:r>
            <w:r>
              <w:rPr>
                <w:rStyle w:val="normaltextrun"/>
                <w:szCs w:val="18"/>
              </w:rPr>
              <w:t xml:space="preserve"> </w:t>
            </w:r>
            <w:r>
              <w:rPr>
                <w:rStyle w:val="normaltextrun"/>
                <w:szCs w:val="18"/>
              </w:rPr>
              <w:t>–</w:t>
            </w:r>
            <w:r>
              <w:rPr>
                <w:rStyle w:val="normaltextrun"/>
                <w:szCs w:val="18"/>
              </w:rPr>
              <w:t xml:space="preserve"> Seminarium</w:t>
            </w:r>
            <w:r>
              <w:rPr>
                <w:rStyle w:val="normaltextrun"/>
                <w:szCs w:val="18"/>
              </w:rPr>
              <w:t xml:space="preserve">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6530452" w14:textId="77777777" w:rsidR="00792320" w:rsidRPr="008F7780" w:rsidRDefault="00792320" w:rsidP="00792320">
            <w:pPr>
              <w:spacing w:after="0" w:line="259" w:lineRule="auto"/>
              <w:rPr>
                <w:color w:val="auto"/>
              </w:rPr>
            </w:pPr>
            <w:r w:rsidRPr="008F7780">
              <w:rPr>
                <w:color w:val="auto"/>
              </w:rPr>
              <w:t xml:space="preserve">Uzależnienia behawioralne.  </w:t>
            </w:r>
          </w:p>
          <w:p w14:paraId="0DF6DC6A" w14:textId="77777777" w:rsidR="00AA70EE" w:rsidRDefault="00792320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0">
              <w:rPr>
                <w:color w:val="auto"/>
              </w:rPr>
              <w:t>Definicja uzależnień behawioralnych, diagnozowanie, czynniki ryzyka rozwoju uzależnień behawioralnych,</w:t>
            </w:r>
            <w:r>
              <w:rPr>
                <w:color w:val="auto"/>
              </w:rPr>
              <w:t xml:space="preserve"> </w:t>
            </w:r>
            <w:r w:rsidRPr="008F7780">
              <w:rPr>
                <w:color w:val="auto"/>
              </w:rPr>
              <w:t>najczę</w:t>
            </w:r>
            <w:r>
              <w:rPr>
                <w:color w:val="auto"/>
              </w:rPr>
              <w:t>ściej występujące</w:t>
            </w:r>
            <w:r w:rsidRPr="008F7780">
              <w:rPr>
                <w:color w:val="auto"/>
              </w:rPr>
              <w:t xml:space="preserve"> uzależnie</w:t>
            </w:r>
            <w:r>
              <w:rPr>
                <w:color w:val="auto"/>
              </w:rPr>
              <w:t>nia</w:t>
            </w:r>
            <w:r w:rsidRPr="008F7780">
              <w:rPr>
                <w:color w:val="auto"/>
              </w:rPr>
              <w:t xml:space="preserve"> behawioraln</w:t>
            </w:r>
            <w:r>
              <w:rPr>
                <w:color w:val="auto"/>
              </w:rPr>
              <w:t>e</w:t>
            </w:r>
            <w:r w:rsidRPr="008F7780">
              <w:rPr>
                <w:color w:val="auto"/>
              </w:rPr>
              <w:t>: hazard patologiczny</w:t>
            </w:r>
            <w:r>
              <w:rPr>
                <w:color w:val="auto"/>
              </w:rPr>
              <w:t>,</w:t>
            </w:r>
            <w:r w:rsidRPr="008F7780">
              <w:rPr>
                <w:color w:val="auto"/>
              </w:rPr>
              <w:t xml:space="preserve"> uzależnienie od zakupów</w:t>
            </w:r>
            <w:r>
              <w:rPr>
                <w:color w:val="auto"/>
              </w:rPr>
              <w:t>,</w:t>
            </w:r>
            <w:r w:rsidRPr="008F7780">
              <w:rPr>
                <w:color w:val="auto"/>
              </w:rPr>
              <w:t xml:space="preserve"> uzależnienie od nowych technologii: smartfon, Internet, gry</w:t>
            </w:r>
            <w:r>
              <w:rPr>
                <w:color w:val="auto"/>
              </w:rPr>
              <w:t>,</w:t>
            </w:r>
            <w:r w:rsidRPr="008F7780">
              <w:rPr>
                <w:color w:val="auto"/>
              </w:rPr>
              <w:t xml:space="preserve"> uzależnienie od pracy</w:t>
            </w:r>
            <w:r>
              <w:rPr>
                <w:color w:val="auto"/>
              </w:rPr>
              <w:t>;</w:t>
            </w:r>
            <w:r w:rsidRPr="008F7780">
              <w:rPr>
                <w:color w:val="auto"/>
              </w:rPr>
              <w:t xml:space="preserve"> strategie leczenia uzależnień behawioralnych</w:t>
            </w:r>
            <w:r>
              <w:rPr>
                <w:color w:val="auto"/>
              </w:rPr>
              <w:t>.</w:t>
            </w:r>
            <w:r w:rsidRPr="008F7780">
              <w:rPr>
                <w:color w:val="auto"/>
              </w:rPr>
              <w:t> </w:t>
            </w:r>
          </w:p>
          <w:p w14:paraId="479EF4D1" w14:textId="0D356226" w:rsidR="00173964" w:rsidRPr="00C01834" w:rsidRDefault="00173964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Zaburzenia odżywiania.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22C26E" w14:textId="5756A3BA" w:rsidR="00AA70EE" w:rsidRPr="00C01834" w:rsidRDefault="001641B6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D.W13., W2.</w:t>
            </w:r>
          </w:p>
        </w:tc>
      </w:tr>
      <w:tr w:rsidR="00AA70EE" w:rsidRPr="00C01834" w14:paraId="21C906D4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47B81D" w14:textId="414D5D02" w:rsidR="00AA70EE" w:rsidRDefault="00B845B3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</w:rPr>
              <w:t xml:space="preserve">E.U11., </w:t>
            </w:r>
            <w:r w:rsidR="00AA70EE">
              <w:rPr>
                <w:rStyle w:val="normaltextrun"/>
                <w:szCs w:val="18"/>
              </w:rPr>
              <w:t>S</w:t>
            </w:r>
            <w:r w:rsidR="00AA70EE">
              <w:rPr>
                <w:rStyle w:val="normaltextrun"/>
                <w:szCs w:val="18"/>
              </w:rPr>
              <w:t>4</w:t>
            </w:r>
            <w:r w:rsidR="00AA70EE">
              <w:rPr>
                <w:rStyle w:val="normaltextrun"/>
                <w:szCs w:val="18"/>
              </w:rPr>
              <w:t xml:space="preserve"> - Seminarium </w:t>
            </w:r>
            <w:r w:rsidR="00AA70EE">
              <w:rPr>
                <w:rStyle w:val="normaltextrun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B020A8" w14:textId="266BFB32" w:rsidR="00AA70EE" w:rsidRDefault="00173964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Rola pracownika ochrony zdrowia we wczesnym wykrywaniu problemów uzależnień.</w:t>
            </w:r>
          </w:p>
          <w:p w14:paraId="1ABB2F87" w14:textId="714B4E5D" w:rsidR="00173964" w:rsidRDefault="00173964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Koncepcja psychologicznych mechanizmów uzależnienia, podstawowe założenia terapii uzależnień, motywowanie do podjęcia terapii, organizacja pracy placówek leczenia uzależnień.</w:t>
            </w:r>
          </w:p>
          <w:p w14:paraId="7C6EF6E4" w14:textId="632B27B2" w:rsidR="00173964" w:rsidRPr="00C01834" w:rsidRDefault="00173964" w:rsidP="0079232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802782C" w14:textId="63CC9808" w:rsidR="00AA70EE" w:rsidRPr="00C01834" w:rsidRDefault="00173964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D.W12., D.W13.,</w:t>
            </w:r>
            <w:r w:rsidR="006C5239">
              <w:rPr>
                <w:color w:val="auto"/>
              </w:rPr>
              <w:t xml:space="preserve"> </w:t>
            </w:r>
            <w:r w:rsidR="006C5239">
              <w:rPr>
                <w:color w:val="auto"/>
              </w:rPr>
              <w:t>D.W1</w:t>
            </w:r>
            <w:r w:rsidR="006C5239">
              <w:rPr>
                <w:color w:val="auto"/>
              </w:rPr>
              <w:t>6</w:t>
            </w:r>
            <w:r w:rsidR="006C5239">
              <w:rPr>
                <w:color w:val="auto"/>
              </w:rPr>
              <w:t>.,</w:t>
            </w:r>
            <w:r>
              <w:rPr>
                <w:color w:val="auto"/>
              </w:rPr>
              <w:t xml:space="preserve"> W4.</w:t>
            </w:r>
          </w:p>
        </w:tc>
      </w:tr>
      <w:tr w:rsidR="00AA70EE" w:rsidRPr="00C01834" w14:paraId="42BD01F1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279233" w14:textId="34CF3699" w:rsidR="00AA70EE" w:rsidRDefault="00AA70EE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</w:rPr>
              <w:t>S</w:t>
            </w:r>
            <w:r>
              <w:rPr>
                <w:rStyle w:val="normaltextrun"/>
                <w:szCs w:val="18"/>
              </w:rPr>
              <w:t>5</w:t>
            </w:r>
            <w:r>
              <w:rPr>
                <w:rStyle w:val="normaltextrun"/>
                <w:szCs w:val="18"/>
              </w:rPr>
              <w:t xml:space="preserve"> - Seminarium </w:t>
            </w:r>
            <w:r>
              <w:rPr>
                <w:rStyle w:val="normaltextrun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AE31179" w14:textId="73109FBC" w:rsidR="001641B6" w:rsidRDefault="001641B6" w:rsidP="001641B6">
            <w:pPr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Konsekwencje ryzykownych zachowań związanych z uzależnieniami</w:t>
            </w:r>
            <w:r>
              <w:rPr>
                <w:bCs/>
                <w:iCs/>
                <w:szCs w:val="18"/>
              </w:rPr>
              <w:t>.</w:t>
            </w:r>
          </w:p>
          <w:p w14:paraId="38209897" w14:textId="5FC71229" w:rsidR="00AA70EE" w:rsidRPr="00C01834" w:rsidRDefault="001641B6" w:rsidP="001641B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Cs/>
                <w:iCs/>
                <w:szCs w:val="18"/>
              </w:rPr>
              <w:t>Problematyka HIV/AIDS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8AA3DC" w14:textId="1871156D" w:rsidR="00AA70EE" w:rsidRPr="00C01834" w:rsidRDefault="001641B6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D.W13.,</w:t>
            </w:r>
            <w:r w:rsidR="006C5239">
              <w:rPr>
                <w:color w:val="auto"/>
              </w:rPr>
              <w:t xml:space="preserve"> </w:t>
            </w:r>
            <w:r w:rsidR="006C5239">
              <w:rPr>
                <w:color w:val="auto"/>
              </w:rPr>
              <w:t>D.W16.,</w:t>
            </w:r>
            <w:r>
              <w:rPr>
                <w:color w:val="auto"/>
              </w:rPr>
              <w:t xml:space="preserve"> W1, W4.</w:t>
            </w:r>
          </w:p>
        </w:tc>
      </w:tr>
      <w:tr w:rsidR="00AA70EE" w:rsidRPr="00C01834" w14:paraId="4806200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A9A3B0" w14:textId="339F68E8" w:rsidR="00AA70EE" w:rsidRDefault="00792320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  <w:bdr w:val="none" w:sz="0" w:space="0" w:color="auto" w:frame="1"/>
              </w:rPr>
              <w:t>C1 - Ćwiczenie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CF97E90" w14:textId="6D72CAAC" w:rsidR="00AA70EE" w:rsidRPr="00C01834" w:rsidRDefault="0079232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F17F3">
              <w:rPr>
                <w:rStyle w:val="normaltextrun"/>
                <w:rFonts w:asciiTheme="minorHAnsi" w:hAnsiTheme="minorHAnsi" w:cstheme="minorHAnsi"/>
                <w:szCs w:val="18"/>
                <w:bdr w:val="none" w:sz="0" w:space="0" w:color="auto" w:frame="1"/>
              </w:rPr>
              <w:t>Identyfikacja osób używających substancje psychoaktywne</w:t>
            </w:r>
            <w:r>
              <w:rPr>
                <w:rStyle w:val="normaltextrun"/>
                <w:rFonts w:asciiTheme="minorHAnsi" w:hAnsiTheme="minorHAnsi" w:cstheme="minorHAnsi"/>
                <w:szCs w:val="18"/>
                <w:bdr w:val="none" w:sz="0" w:space="0" w:color="auto" w:frame="1"/>
              </w:rPr>
              <w:t>,</w:t>
            </w:r>
            <w:r w:rsidRPr="00FF17F3">
              <w:rPr>
                <w:rStyle w:val="normaltextrun"/>
                <w:rFonts w:asciiTheme="minorHAnsi" w:hAnsiTheme="minorHAnsi" w:cstheme="minorHAnsi"/>
                <w:szCs w:val="18"/>
                <w:bdr w:val="none" w:sz="0" w:space="0" w:color="auto" w:frame="1"/>
              </w:rPr>
              <w:t xml:space="preserve"> znaczenie wczesnego wykrywania i leczenia zaburzeń związanych z używaniem substancji psychoaktywnych</w:t>
            </w:r>
            <w:r>
              <w:rPr>
                <w:rStyle w:val="normaltextrun"/>
                <w:rFonts w:asciiTheme="minorHAnsi" w:hAnsiTheme="minorHAnsi" w:cstheme="minorHAnsi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A793C2B" w14:textId="530A85AD" w:rsidR="00AA70EE" w:rsidRPr="00C01834" w:rsidRDefault="00B845B3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E.U11., U1</w:t>
            </w:r>
            <w:r w:rsidR="003C7AE8">
              <w:rPr>
                <w:color w:val="auto"/>
              </w:rPr>
              <w:t>-</w:t>
            </w:r>
            <w:r w:rsidR="00106045">
              <w:rPr>
                <w:color w:val="auto"/>
              </w:rPr>
              <w:t>U3.</w:t>
            </w:r>
          </w:p>
        </w:tc>
      </w:tr>
      <w:tr w:rsidR="00AA70EE" w:rsidRPr="00C01834" w14:paraId="31A88552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E1DD81A" w14:textId="0E86FEBD" w:rsidR="00AA70EE" w:rsidRDefault="00792320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  <w:bdr w:val="none" w:sz="0" w:space="0" w:color="auto" w:frame="1"/>
              </w:rPr>
              <w:t>C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2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 xml:space="preserve"> - Ćwiczenie 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A19D856" w14:textId="77777777" w:rsidR="00792320" w:rsidRDefault="00792320" w:rsidP="007923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Pomoc osobom uzależnionym i możliwości terapii uzależnień:  krótkie interwencje terapeutyczne, wywiad motywacyjny, kierowanie do specjalistycznych ośrodków terapeutycznych.   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29F82095" w14:textId="7C8D56A5" w:rsidR="00AA70EE" w:rsidRPr="00C01834" w:rsidRDefault="00792320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Style w:val="normaltextrun"/>
                <w:szCs w:val="18"/>
              </w:rPr>
              <w:t>Poziomy terapii: detoksykacja, intensywne programy terapeutyczne, zapobieganie nawrotom; dostępność leczenia w Polsce, organizacje samorządowe, samopomocowe i inne formy pomocy. 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06C461" w14:textId="4210A58C" w:rsidR="00AA70EE" w:rsidRPr="00C01834" w:rsidRDefault="0010604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E.U11., </w:t>
            </w:r>
            <w:r>
              <w:rPr>
                <w:color w:val="auto"/>
              </w:rPr>
              <w:t>E.U</w:t>
            </w:r>
            <w:r>
              <w:rPr>
                <w:color w:val="auto"/>
              </w:rPr>
              <w:t>26</w:t>
            </w:r>
            <w:r>
              <w:rPr>
                <w:color w:val="auto"/>
              </w:rPr>
              <w:t>.,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E.U</w:t>
            </w:r>
            <w:r>
              <w:rPr>
                <w:color w:val="auto"/>
              </w:rPr>
              <w:t>28</w:t>
            </w:r>
            <w:r>
              <w:rPr>
                <w:color w:val="auto"/>
              </w:rPr>
              <w:t>.,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U1</w:t>
            </w:r>
            <w:r w:rsidR="003C7AE8">
              <w:rPr>
                <w:color w:val="auto"/>
              </w:rPr>
              <w:t>-</w:t>
            </w:r>
            <w:r>
              <w:rPr>
                <w:color w:val="auto"/>
              </w:rPr>
              <w:t>U3.</w:t>
            </w:r>
          </w:p>
        </w:tc>
      </w:tr>
      <w:tr w:rsidR="00AA70EE" w:rsidRPr="00C01834" w14:paraId="106D7B0E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594F93" w14:textId="135088BB" w:rsidR="00AA70EE" w:rsidRDefault="00792320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  <w:bdr w:val="none" w:sz="0" w:space="0" w:color="auto" w:frame="1"/>
              </w:rPr>
              <w:t>C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3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 xml:space="preserve"> - Ćwiczenie 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24E91D8" w14:textId="6DDFB9C1" w:rsidR="00AA70EE" w:rsidRPr="00C01834" w:rsidRDefault="0079232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1365">
              <w:rPr>
                <w:rFonts w:asciiTheme="minorHAnsi" w:hAnsiTheme="minorHAnsi" w:cstheme="minorHAnsi"/>
                <w:szCs w:val="18"/>
              </w:rPr>
              <w:t>Organizacja profilaktyki uzależnień, główne założenia programów profilaktycznych i zasadnicze strategie tych programów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  <w:r w:rsidRPr="00361365">
              <w:rPr>
                <w:rFonts w:asciiTheme="minorHAnsi" w:hAnsiTheme="minorHAnsi" w:cstheme="minorHAnsi"/>
                <w:szCs w:val="18"/>
              </w:rPr>
              <w:t>   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3DE455" w14:textId="458826F3" w:rsidR="00AA70EE" w:rsidRPr="00C01834" w:rsidRDefault="0010604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E.U28., U2, U3.</w:t>
            </w:r>
          </w:p>
        </w:tc>
      </w:tr>
      <w:tr w:rsidR="00AA70EE" w:rsidRPr="00C01834" w14:paraId="0DD38BAD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ADC2D90" w14:textId="43806DDC" w:rsidR="00AA70EE" w:rsidRDefault="00792320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  <w:bdr w:val="none" w:sz="0" w:space="0" w:color="auto" w:frame="1"/>
              </w:rPr>
              <w:t>C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4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 xml:space="preserve"> - Ćwiczenie 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755B7CF" w14:textId="77777777" w:rsidR="00792320" w:rsidRPr="00361365" w:rsidRDefault="00792320" w:rsidP="0079232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>Współuzależnienie i pomoc rodzinom osób uzależnionych; spotkania z członkami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wspólnot</w:t>
            </w: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 xml:space="preserve"> AA, NA, Al-Anon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.</w:t>
            </w: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 xml:space="preserve">  </w:t>
            </w:r>
          </w:p>
          <w:p w14:paraId="5BCCB278" w14:textId="0E796FC5" w:rsidR="00AA70EE" w:rsidRPr="00C01834" w:rsidRDefault="00792320" w:rsidP="0079232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1365">
              <w:rPr>
                <w:rFonts w:asciiTheme="minorHAnsi" w:hAnsiTheme="minorHAnsi" w:cstheme="minorHAnsi"/>
                <w:szCs w:val="18"/>
              </w:rPr>
              <w:t>Problemy dzieci osób uzależnionych – konsekwencje rozwojowe i psychologiczne, dorosłe dzieci alkoholików (DDA)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E79888" w14:textId="13738860" w:rsidR="00AA70EE" w:rsidRPr="00C01834" w:rsidRDefault="008715F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E.U28.,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E.U2</w:t>
            </w:r>
            <w:r>
              <w:rPr>
                <w:color w:val="auto"/>
              </w:rPr>
              <w:t>9</w:t>
            </w:r>
            <w:r>
              <w:rPr>
                <w:color w:val="auto"/>
              </w:rPr>
              <w:t>.,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, U3.</w:t>
            </w:r>
          </w:p>
        </w:tc>
      </w:tr>
      <w:tr w:rsidR="00AA70EE" w:rsidRPr="00C01834" w14:paraId="7E2E51F3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D860093" w14:textId="68B266F0" w:rsidR="00AA70EE" w:rsidRDefault="00792320" w:rsidP="00D773DA">
            <w:pPr>
              <w:spacing w:after="0" w:line="259" w:lineRule="auto"/>
              <w:ind w:left="5" w:firstLine="0"/>
              <w:jc w:val="center"/>
              <w:rPr>
                <w:rStyle w:val="normaltextrun"/>
                <w:szCs w:val="18"/>
              </w:rPr>
            </w:pPr>
            <w:r>
              <w:rPr>
                <w:rStyle w:val="normaltextrun"/>
                <w:szCs w:val="18"/>
                <w:bdr w:val="none" w:sz="0" w:space="0" w:color="auto" w:frame="1"/>
              </w:rPr>
              <w:t>C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5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 xml:space="preserve"> - Ćwiczenie </w:t>
            </w:r>
            <w:r>
              <w:rPr>
                <w:rStyle w:val="normaltextrun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8D0DDA4" w14:textId="429C28A0" w:rsidR="00AA70EE" w:rsidRPr="00C01834" w:rsidRDefault="0079232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>Zapobieganie następstwom zdrowotnym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używania SP: </w:t>
            </w: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>profilaktyka zakażenia HIV, HCV, HBV; FAS (Płodowy Zespól Alkoholowy); przemoc fizyczna i psychiczna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>.</w:t>
            </w:r>
            <w:r w:rsidRPr="00361365">
              <w:rPr>
                <w:rFonts w:asciiTheme="minorHAnsi" w:hAnsiTheme="minorHAnsi" w:cstheme="minorHAnsi"/>
                <w:color w:val="auto"/>
                <w:szCs w:val="18"/>
              </w:rPr>
              <w:t>  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D3DF66" w14:textId="3DE75BE4" w:rsidR="00AA70EE" w:rsidRPr="00C01834" w:rsidRDefault="008715F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E.U11., E.U2</w:t>
            </w:r>
            <w:r>
              <w:rPr>
                <w:color w:val="auto"/>
              </w:rPr>
              <w:t>9</w:t>
            </w:r>
            <w:r>
              <w:rPr>
                <w:color w:val="auto"/>
              </w:rPr>
              <w:t>.,</w:t>
            </w:r>
            <w:r>
              <w:rPr>
                <w:color w:val="auto"/>
              </w:rPr>
              <w:t xml:space="preserve"> U2.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F7B3E07" w14:textId="77777777" w:rsidR="003F22E6" w:rsidRDefault="003F22E6" w:rsidP="003F22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A76554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</w:t>
            </w:r>
            <w:r w:rsidRPr="00A76554">
              <w:rPr>
                <w:rStyle w:val="normaltextrun"/>
                <w:szCs w:val="18"/>
              </w:rPr>
              <w:t>.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Psychiatria. Gałecki P. Szulc A. Edra Urban &amp; Partner, Wrocław 2018.</w:t>
            </w:r>
          </w:p>
          <w:p w14:paraId="10528821" w14:textId="5332498B" w:rsidR="00014630" w:rsidRPr="00C01834" w:rsidRDefault="003F22E6" w:rsidP="003F22E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18"/>
                <w:szCs w:val="18"/>
              </w:rPr>
              <w:t xml:space="preserve">2.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Psychiatria Skrypt dla studentów. Oficyna Wydawnicza Warszawskiego Uniwersytetu Medycznego 2015.</w:t>
            </w:r>
            <w:r>
              <w:rPr>
                <w:rStyle w:val="normaltextrun"/>
                <w:sz w:val="18"/>
                <w:szCs w:val="18"/>
              </w:rPr>
              <w:t> </w:t>
            </w:r>
            <w:r>
              <w:rPr>
                <w:rStyle w:val="eop"/>
                <w:rFonts w:eastAsia="Calibri"/>
                <w:sz w:val="18"/>
                <w:szCs w:val="18"/>
              </w:rPr>
              <w:t> 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E0FAD73" w14:textId="0BA90ABD" w:rsidR="003F22E6" w:rsidRDefault="003F22E6" w:rsidP="003F22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Uzależnienia behawioralne. Terapia i profilaktyka. Rowicka M. Fundacja Praesterno Warszawa 2015.</w:t>
            </w:r>
          </w:p>
          <w:p w14:paraId="3F8E9CC8" w14:textId="3BF8CF37" w:rsidR="003F22E6" w:rsidRPr="00AE03D9" w:rsidRDefault="003F22E6" w:rsidP="003F22E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. Nauka o uzależnieniach. Erickson C. K. Wydawnictwo Uniwersytetu Warszawskiego 2010.           </w:t>
            </w:r>
            <w:r>
              <w:rPr>
                <w:rStyle w:val="normaltextrun"/>
                <w:color w:val="000000"/>
              </w:rPr>
              <w:t xml:space="preserve">                                          </w:t>
            </w:r>
          </w:p>
          <w:p w14:paraId="47BFFACE" w14:textId="3205B7BA" w:rsidR="00014630" w:rsidRPr="00C01834" w:rsidRDefault="00014630" w:rsidP="003F22E6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48E78196" w:rsidR="00A3096F" w:rsidRPr="00AD2F54" w:rsidRDefault="00D55FB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C.W36., D.W12., D.W13.,</w:t>
            </w:r>
            <w:r w:rsidR="006C5239">
              <w:rPr>
                <w:color w:val="auto"/>
              </w:rPr>
              <w:t xml:space="preserve"> D.W16., </w:t>
            </w:r>
            <w:r>
              <w:rPr>
                <w:color w:val="auto"/>
              </w:rPr>
              <w:t>E.W18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t>5, W1</w:t>
            </w:r>
            <w:r>
              <w:rPr>
                <w:color w:val="auto"/>
              </w:rPr>
              <w:t>-</w:t>
            </w:r>
            <w:r>
              <w:rPr>
                <w:color w:val="auto"/>
              </w:rPr>
              <w:t xml:space="preserve"> W</w:t>
            </w:r>
            <w:r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9A59BDF" w:rsidR="00A3096F" w:rsidRPr="00255E1E" w:rsidRDefault="00255E1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55E1E">
              <w:rPr>
                <w:color w:val="auto"/>
              </w:rPr>
              <w:t xml:space="preserve">Test </w:t>
            </w:r>
            <w:r>
              <w:rPr>
                <w:color w:val="auto"/>
              </w:rPr>
              <w:t>–</w:t>
            </w:r>
            <w:r w:rsidRPr="00255E1E">
              <w:rPr>
                <w:color w:val="auto"/>
              </w:rPr>
              <w:t xml:space="preserve"> </w:t>
            </w:r>
            <w:r>
              <w:rPr>
                <w:color w:val="auto"/>
              </w:rPr>
              <w:t>30 pytań zamkniętych, jednokrotnego wyboru</w:t>
            </w:r>
            <w:r w:rsidR="00DA3104">
              <w:rPr>
                <w:color w:val="auto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9F38B5" w14:textId="1F59A498" w:rsidR="00255E1E" w:rsidRDefault="00255E1E" w:rsidP="00255E1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&gt; 60% prawidłowych odpowiedzi</w:t>
            </w:r>
            <w:r w:rsidR="00DA3104"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C33C0E3" w14:textId="510BEC16" w:rsidR="00A3096F" w:rsidRPr="00AD2F54" w:rsidRDefault="00255E1E" w:rsidP="00255E1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rStyle w:val="normaltextrun"/>
                <w:szCs w:val="18"/>
              </w:rPr>
              <w:t>Zaliczenie bez oceny</w:t>
            </w:r>
            <w:r w:rsidR="00DA3104">
              <w:rPr>
                <w:rStyle w:val="normaltextrun"/>
                <w:szCs w:val="18"/>
              </w:rPr>
              <w:t>.</w:t>
            </w:r>
            <w:r w:rsidRPr="00AD2F54">
              <w:rPr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DA3104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7193008C" w:rsidR="00DA3104" w:rsidRPr="00C01834" w:rsidRDefault="00D37214" w:rsidP="00DA3104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E.U11.,</w:t>
            </w:r>
            <w:r>
              <w:rPr>
                <w:color w:val="auto"/>
              </w:rPr>
              <w:t xml:space="preserve"> </w:t>
            </w:r>
            <w:r w:rsidR="00A75103">
              <w:rPr>
                <w:color w:val="auto"/>
              </w:rPr>
              <w:t>E.</w:t>
            </w:r>
            <w:r>
              <w:rPr>
                <w:color w:val="auto"/>
              </w:rPr>
              <w:t>U2</w:t>
            </w:r>
            <w:r>
              <w:rPr>
                <w:color w:val="auto"/>
              </w:rPr>
              <w:t>6</w:t>
            </w:r>
            <w:r>
              <w:rPr>
                <w:color w:val="auto"/>
              </w:rPr>
              <w:t>.,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E.U2</w:t>
            </w:r>
            <w:r>
              <w:rPr>
                <w:color w:val="auto"/>
              </w:rPr>
              <w:t>8</w:t>
            </w:r>
            <w:r>
              <w:rPr>
                <w:color w:val="auto"/>
              </w:rPr>
              <w:t>., E.U2</w:t>
            </w:r>
            <w:r>
              <w:rPr>
                <w:color w:val="auto"/>
              </w:rPr>
              <w:t>9</w:t>
            </w:r>
            <w:r>
              <w:rPr>
                <w:color w:val="auto"/>
              </w:rPr>
              <w:t xml:space="preserve">., </w:t>
            </w:r>
            <w:r>
              <w:rPr>
                <w:color w:val="auto"/>
              </w:rPr>
              <w:t>U1-3, K1-4.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31597C8D" w:rsidR="00DA3104" w:rsidRPr="000B7D49" w:rsidRDefault="00DA3104" w:rsidP="00DA310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0B7D49">
              <w:rPr>
                <w:szCs w:val="18"/>
              </w:rPr>
              <w:t>Aktywny udział w seminariach i ćwiczeniach, obserwacja studenta podczas zajęć</w:t>
            </w:r>
            <w:r>
              <w:rPr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216AF585" w:rsidR="00DA3104" w:rsidRPr="000B7D49" w:rsidRDefault="00DA3104" w:rsidP="00DA310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653863">
              <w:rPr>
                <w:color w:val="auto"/>
              </w:rPr>
              <w:t xml:space="preserve">Pozytywna ocena przez </w:t>
            </w:r>
            <w:r>
              <w:rPr>
                <w:color w:val="auto"/>
              </w:rPr>
              <w:t>prowadzącego</w:t>
            </w:r>
            <w:r w:rsidRPr="00653863">
              <w:rPr>
                <w:color w:val="auto"/>
              </w:rPr>
              <w:t xml:space="preserve"> nabytych podczas zajęć umiejętności i posługiwanie się kompetencjami</w:t>
            </w:r>
            <w:r>
              <w:rPr>
                <w:color w:val="auto"/>
              </w:rPr>
              <w:t>.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1B3B3DA" w14:textId="77777777" w:rsidR="00A30339" w:rsidRPr="00760261" w:rsidRDefault="00255E1E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342DE9">
              <w:rPr>
                <w:bCs/>
                <w:szCs w:val="18"/>
              </w:rPr>
              <w:t xml:space="preserve">      </w:t>
            </w:r>
            <w:r w:rsidR="00A30339" w:rsidRPr="00760261">
              <w:rPr>
                <w:bCs/>
                <w:color w:val="auto"/>
              </w:rPr>
              <w:t>Regulamin zajęć: </w:t>
            </w:r>
          </w:p>
          <w:p w14:paraId="46079999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1. Obecność na zajęciach jest obowiązkowa</w:t>
            </w:r>
            <w:r>
              <w:rPr>
                <w:bCs/>
                <w:color w:val="auto"/>
              </w:rPr>
              <w:t>.</w:t>
            </w:r>
          </w:p>
          <w:p w14:paraId="2C9C4F89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2. Wszystkie nieobecności należy usprawiedliwiać, a ustalenie sposobu, formy i terminu ich odrabiania należy uzgodnić z</w:t>
            </w:r>
          </w:p>
          <w:p w14:paraId="03A40327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osobą prowadzącą zajęcia</w:t>
            </w:r>
            <w:r>
              <w:rPr>
                <w:bCs/>
                <w:color w:val="auto"/>
              </w:rPr>
              <w:t>.</w:t>
            </w:r>
          </w:p>
          <w:p w14:paraId="4619B47A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3. Spóźnienia przekraczające 15 minut będą traktowane jak nieobecność</w:t>
            </w:r>
            <w:r>
              <w:rPr>
                <w:bCs/>
                <w:color w:val="auto"/>
              </w:rPr>
              <w:t>.</w:t>
            </w:r>
          </w:p>
          <w:p w14:paraId="632D86D5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4. Przeniesienie do innej grupy dziekańskiej jest możliwe jeśli pozwala na to liczba studentów w danej grupie</w:t>
            </w:r>
            <w:r>
              <w:rPr>
                <w:bCs/>
                <w:color w:val="auto"/>
              </w:rPr>
              <w:t>.</w:t>
            </w:r>
          </w:p>
          <w:p w14:paraId="649A8367" w14:textId="77777777" w:rsidR="00A30339" w:rsidRPr="0076026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5. Sprawdzenie stopnia opanowania materiału odbywa się w czasie każdych zajęć i jest warunkiem zaliczenia</w:t>
            </w:r>
            <w:r>
              <w:rPr>
                <w:bCs/>
                <w:color w:val="auto"/>
              </w:rPr>
              <w:t>.</w:t>
            </w:r>
          </w:p>
          <w:p w14:paraId="16AFE116" w14:textId="77777777" w:rsidR="00A30339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760261">
              <w:rPr>
                <w:bCs/>
                <w:color w:val="auto"/>
              </w:rPr>
              <w:t>6. Dla studentów, którzy nie zaliczą testu zostanie ustalony jeden termin poprawkowy</w:t>
            </w:r>
            <w:r>
              <w:rPr>
                <w:bCs/>
                <w:color w:val="auto"/>
              </w:rPr>
              <w:t>.</w:t>
            </w:r>
          </w:p>
          <w:p w14:paraId="745AB439" w14:textId="77777777" w:rsidR="00A30339" w:rsidRPr="009E3E31" w:rsidRDefault="00A30339" w:rsidP="00A30339">
            <w:pPr>
              <w:spacing w:after="0" w:line="259" w:lineRule="auto"/>
              <w:ind w:right="235"/>
              <w:rPr>
                <w:bCs/>
                <w:color w:val="auto"/>
              </w:rPr>
            </w:pPr>
            <w:r w:rsidRPr="009E3E31">
              <w:rPr>
                <w:bCs/>
                <w:color w:val="auto"/>
              </w:rPr>
              <w:t>Osoba odpowiedzialna za dydaktykę: mgr Małgorzata Abramowska, e-mail: malgorzata.abramowska@wum.edu.pl; 22 116 53 43</w:t>
            </w:r>
            <w:r>
              <w:rPr>
                <w:bCs/>
                <w:color w:val="auto"/>
              </w:rPr>
              <w:t>.</w:t>
            </w:r>
            <w:r w:rsidRPr="009E3E31">
              <w:rPr>
                <w:bCs/>
                <w:color w:val="auto"/>
              </w:rPr>
              <w:t> </w:t>
            </w:r>
          </w:p>
          <w:p w14:paraId="56C0E77E" w14:textId="77777777" w:rsidR="00A30339" w:rsidRDefault="00A30339" w:rsidP="00A30339">
            <w:pPr>
              <w:spacing w:after="0" w:line="259" w:lineRule="auto"/>
              <w:ind w:left="0" w:right="235" w:firstLine="0"/>
              <w:jc w:val="both"/>
              <w:rPr>
                <w:bCs/>
                <w:color w:val="auto"/>
              </w:rPr>
            </w:pPr>
            <w:r w:rsidRPr="009E3E31">
              <w:rPr>
                <w:bCs/>
                <w:color w:val="auto"/>
              </w:rPr>
              <w:t>Możliwość udziału w pracach Studenckiego Psychiatrycznego Koło Naukowego</w:t>
            </w:r>
            <w:r>
              <w:rPr>
                <w:bCs/>
                <w:color w:val="auto"/>
              </w:rPr>
              <w:t xml:space="preserve">; </w:t>
            </w:r>
          </w:p>
          <w:p w14:paraId="417D9F1F" w14:textId="77777777" w:rsidR="00A30339" w:rsidRPr="009E3E31" w:rsidRDefault="00A30339" w:rsidP="00A30339">
            <w:pPr>
              <w:spacing w:after="0" w:line="259" w:lineRule="auto"/>
              <w:ind w:left="0" w:right="235"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opiekun </w:t>
            </w:r>
            <w:r w:rsidRPr="009E3E31">
              <w:rPr>
                <w:bCs/>
                <w:color w:val="auto"/>
              </w:rPr>
              <w:t xml:space="preserve">Koła Naukowego - dr n. med. Dariusz Maciej Myszka, e-mail: dariusz.myszka@wum.edu.pl  </w:t>
            </w:r>
          </w:p>
          <w:p w14:paraId="677E6E8D" w14:textId="0B4E33A5" w:rsidR="00014630" w:rsidRPr="00C01834" w:rsidRDefault="00A30339" w:rsidP="00A30339">
            <w:pPr>
              <w:rPr>
                <w:b/>
                <w:color w:val="auto"/>
              </w:rPr>
            </w:pPr>
            <w:r w:rsidRPr="009E3E31">
              <w:rPr>
                <w:bCs/>
                <w:color w:val="auto"/>
              </w:rPr>
              <w:t>Katedra i Klinika Psychiatryczna WUM   www.psych.waw.pl </w:t>
            </w: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73D3" w14:textId="77777777" w:rsidR="0015105F" w:rsidRDefault="0015105F">
      <w:pPr>
        <w:spacing w:after="0" w:line="240" w:lineRule="auto"/>
      </w:pPr>
      <w:r>
        <w:separator/>
      </w:r>
    </w:p>
  </w:endnote>
  <w:endnote w:type="continuationSeparator" w:id="0">
    <w:p w14:paraId="3E53E61C" w14:textId="77777777" w:rsidR="0015105F" w:rsidRDefault="0015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80C6" w14:textId="77777777" w:rsidR="0015105F" w:rsidRDefault="0015105F">
      <w:pPr>
        <w:spacing w:after="0" w:line="240" w:lineRule="auto"/>
      </w:pPr>
      <w:r>
        <w:separator/>
      </w:r>
    </w:p>
  </w:footnote>
  <w:footnote w:type="continuationSeparator" w:id="0">
    <w:p w14:paraId="4ACA8059" w14:textId="77777777" w:rsidR="0015105F" w:rsidRDefault="0015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F1AB" w14:textId="77777777" w:rsidR="003E713F" w:rsidRDefault="003E71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B1B" w14:textId="1658A1B1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7EDD2C9F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E713F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F62DC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F62DC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2338B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E713F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2338B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5403DD18" w14:textId="3345C30D" w:rsidR="003E713F" w:rsidRDefault="003E7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BF0A" w14:textId="77777777" w:rsidR="003E713F" w:rsidRDefault="003E7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1CD"/>
    <w:multiLevelType w:val="hybridMultilevel"/>
    <w:tmpl w:val="24C888C2"/>
    <w:lvl w:ilvl="0" w:tplc="DE9EE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B50DC"/>
    <w:multiLevelType w:val="multilevel"/>
    <w:tmpl w:val="979A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066B"/>
    <w:multiLevelType w:val="multilevel"/>
    <w:tmpl w:val="DEFA9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7673"/>
    <w:multiLevelType w:val="hybridMultilevel"/>
    <w:tmpl w:val="2E3C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6"/>
  </w:num>
  <w:num w:numId="2" w16cid:durableId="2050952466">
    <w:abstractNumId w:val="4"/>
  </w:num>
  <w:num w:numId="3" w16cid:durableId="1419667679">
    <w:abstractNumId w:val="2"/>
  </w:num>
  <w:num w:numId="4" w16cid:durableId="368073732">
    <w:abstractNumId w:val="1"/>
  </w:num>
  <w:num w:numId="5" w16cid:durableId="1079446427">
    <w:abstractNumId w:val="3"/>
  </w:num>
  <w:num w:numId="6" w16cid:durableId="1410423330">
    <w:abstractNumId w:val="5"/>
  </w:num>
  <w:num w:numId="7" w16cid:durableId="124060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6AAA6F-2AD2-46F3-8B85-61FC219B0211}"/>
  </w:docVars>
  <w:rsids>
    <w:rsidRoot w:val="006C524C"/>
    <w:rsid w:val="00006D19"/>
    <w:rsid w:val="00014630"/>
    <w:rsid w:val="00031264"/>
    <w:rsid w:val="00042B01"/>
    <w:rsid w:val="00046426"/>
    <w:rsid w:val="00065161"/>
    <w:rsid w:val="000825E9"/>
    <w:rsid w:val="000A61A5"/>
    <w:rsid w:val="000B7D49"/>
    <w:rsid w:val="000C639F"/>
    <w:rsid w:val="000E031F"/>
    <w:rsid w:val="000E7357"/>
    <w:rsid w:val="00106045"/>
    <w:rsid w:val="00133592"/>
    <w:rsid w:val="00141A71"/>
    <w:rsid w:val="00143848"/>
    <w:rsid w:val="0015105F"/>
    <w:rsid w:val="00160769"/>
    <w:rsid w:val="001641B6"/>
    <w:rsid w:val="00173964"/>
    <w:rsid w:val="00181CEC"/>
    <w:rsid w:val="00192772"/>
    <w:rsid w:val="001A7487"/>
    <w:rsid w:val="001B4491"/>
    <w:rsid w:val="001C470B"/>
    <w:rsid w:val="001C78B8"/>
    <w:rsid w:val="001E63CB"/>
    <w:rsid w:val="001F028B"/>
    <w:rsid w:val="001F7886"/>
    <w:rsid w:val="002066C4"/>
    <w:rsid w:val="002453B1"/>
    <w:rsid w:val="00255E1E"/>
    <w:rsid w:val="002F3B26"/>
    <w:rsid w:val="0033275B"/>
    <w:rsid w:val="0035040A"/>
    <w:rsid w:val="00382A13"/>
    <w:rsid w:val="003A2874"/>
    <w:rsid w:val="003C787F"/>
    <w:rsid w:val="003C7AE8"/>
    <w:rsid w:val="003E713F"/>
    <w:rsid w:val="003F211F"/>
    <w:rsid w:val="003F22E6"/>
    <w:rsid w:val="00417C37"/>
    <w:rsid w:val="00420898"/>
    <w:rsid w:val="00422398"/>
    <w:rsid w:val="00427F40"/>
    <w:rsid w:val="004343B9"/>
    <w:rsid w:val="004448F5"/>
    <w:rsid w:val="00455F69"/>
    <w:rsid w:val="00470E8F"/>
    <w:rsid w:val="00476558"/>
    <w:rsid w:val="00477321"/>
    <w:rsid w:val="004B784A"/>
    <w:rsid w:val="00517717"/>
    <w:rsid w:val="00520E5A"/>
    <w:rsid w:val="00542402"/>
    <w:rsid w:val="00562624"/>
    <w:rsid w:val="005818F5"/>
    <w:rsid w:val="00590D10"/>
    <w:rsid w:val="005944D4"/>
    <w:rsid w:val="0064087A"/>
    <w:rsid w:val="006A442B"/>
    <w:rsid w:val="006B012B"/>
    <w:rsid w:val="006B6B0B"/>
    <w:rsid w:val="006C5239"/>
    <w:rsid w:val="006C524C"/>
    <w:rsid w:val="006D018B"/>
    <w:rsid w:val="006F1A6D"/>
    <w:rsid w:val="006F3F2A"/>
    <w:rsid w:val="00724BB4"/>
    <w:rsid w:val="00724F33"/>
    <w:rsid w:val="00732CF5"/>
    <w:rsid w:val="00772118"/>
    <w:rsid w:val="00792320"/>
    <w:rsid w:val="00792FD5"/>
    <w:rsid w:val="008130F1"/>
    <w:rsid w:val="0084453C"/>
    <w:rsid w:val="00860B5E"/>
    <w:rsid w:val="00861D21"/>
    <w:rsid w:val="008715F5"/>
    <w:rsid w:val="008A2F0E"/>
    <w:rsid w:val="008A3825"/>
    <w:rsid w:val="008B2234"/>
    <w:rsid w:val="008D2A3B"/>
    <w:rsid w:val="008E592D"/>
    <w:rsid w:val="00900EC6"/>
    <w:rsid w:val="00901188"/>
    <w:rsid w:val="00923CE8"/>
    <w:rsid w:val="00943CA5"/>
    <w:rsid w:val="009B62DF"/>
    <w:rsid w:val="009E635F"/>
    <w:rsid w:val="009F6016"/>
    <w:rsid w:val="00A30339"/>
    <w:rsid w:val="00A3096F"/>
    <w:rsid w:val="00A4042B"/>
    <w:rsid w:val="00A42ACC"/>
    <w:rsid w:val="00A63CE6"/>
    <w:rsid w:val="00A75103"/>
    <w:rsid w:val="00A97D1F"/>
    <w:rsid w:val="00AA70EE"/>
    <w:rsid w:val="00AD036F"/>
    <w:rsid w:val="00AD2F54"/>
    <w:rsid w:val="00AD5EB1"/>
    <w:rsid w:val="00AD7BA1"/>
    <w:rsid w:val="00B47444"/>
    <w:rsid w:val="00B5341A"/>
    <w:rsid w:val="00B5568B"/>
    <w:rsid w:val="00B6294B"/>
    <w:rsid w:val="00B8221A"/>
    <w:rsid w:val="00B845B3"/>
    <w:rsid w:val="00B93718"/>
    <w:rsid w:val="00B973EC"/>
    <w:rsid w:val="00BB23E6"/>
    <w:rsid w:val="00BD233D"/>
    <w:rsid w:val="00BE7443"/>
    <w:rsid w:val="00BF74E9"/>
    <w:rsid w:val="00BF7BFD"/>
    <w:rsid w:val="00C01834"/>
    <w:rsid w:val="00C108A6"/>
    <w:rsid w:val="00C174A8"/>
    <w:rsid w:val="00C2181E"/>
    <w:rsid w:val="00C24D59"/>
    <w:rsid w:val="00C61007"/>
    <w:rsid w:val="00C92ECE"/>
    <w:rsid w:val="00C975C4"/>
    <w:rsid w:val="00CA3ACF"/>
    <w:rsid w:val="00D147A3"/>
    <w:rsid w:val="00D15889"/>
    <w:rsid w:val="00D320E0"/>
    <w:rsid w:val="00D3605C"/>
    <w:rsid w:val="00D37214"/>
    <w:rsid w:val="00D50B92"/>
    <w:rsid w:val="00D55FBF"/>
    <w:rsid w:val="00D56CEB"/>
    <w:rsid w:val="00D928FC"/>
    <w:rsid w:val="00D93A54"/>
    <w:rsid w:val="00DA3104"/>
    <w:rsid w:val="00DF679B"/>
    <w:rsid w:val="00E165E7"/>
    <w:rsid w:val="00E25BD8"/>
    <w:rsid w:val="00E55362"/>
    <w:rsid w:val="00E6064C"/>
    <w:rsid w:val="00E70A1B"/>
    <w:rsid w:val="00E817B4"/>
    <w:rsid w:val="00EB4E6F"/>
    <w:rsid w:val="00EE24F3"/>
    <w:rsid w:val="00EE6DD6"/>
    <w:rsid w:val="00EE7FB1"/>
    <w:rsid w:val="00EF1F36"/>
    <w:rsid w:val="00F016D9"/>
    <w:rsid w:val="00F0356E"/>
    <w:rsid w:val="00F17487"/>
    <w:rsid w:val="00F2338B"/>
    <w:rsid w:val="00F23FFA"/>
    <w:rsid w:val="00F62DC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0F1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1F788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1F7886"/>
  </w:style>
  <w:style w:type="character" w:customStyle="1" w:styleId="eop">
    <w:name w:val="eop"/>
    <w:basedOn w:val="Domylnaczcionkaakapitu"/>
    <w:rsid w:val="003C787F"/>
  </w:style>
  <w:style w:type="character" w:styleId="Nierozpoznanawzmianka">
    <w:name w:val="Unresolved Mention"/>
    <w:basedOn w:val="Domylnaczcionkaakapitu"/>
    <w:uiPriority w:val="99"/>
    <w:semiHidden/>
    <w:unhideWhenUsed/>
    <w:rsid w:val="001A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AAA6F-2AD2-46F3-8B85-61FC219B02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subject/>
  <dc:creator>Maksymilian Radzimirski</dc:creator>
  <cp:keywords/>
  <cp:lastModifiedBy>Małgorzata Abramowska</cp:lastModifiedBy>
  <cp:revision>10</cp:revision>
  <cp:lastPrinted>2020-02-05T09:19:00Z</cp:lastPrinted>
  <dcterms:created xsi:type="dcterms:W3CDTF">2024-07-09T09:50:00Z</dcterms:created>
  <dcterms:modified xsi:type="dcterms:W3CDTF">2024-07-09T10:44:00Z</dcterms:modified>
</cp:coreProperties>
</file>